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AI Use Policy Outline</w:t>
      </w:r>
    </w:p>
    <w:p>
      <w:pPr>
        <w:pStyle w:val="Subtitle"/>
      </w:pPr>
      <w:r>
        <w:t xml:space="preserve">A starting outline for your organization. Not legal advice.</w:t>
      </w:r>
    </w:p>
    <w:bookmarkStart w:id="25" w:name="ai-use-policy-outline"/>
    <w:p>
      <w:pPr>
        <w:pStyle w:val="Heading1"/>
      </w:pPr>
      <w:r>
        <w:t xml:space="preserve">AI Use Policy Outline</w:t>
      </w:r>
    </w:p>
    <w:p>
      <w:pPr>
        <w:pStyle w:val="FirstParagraph"/>
      </w:pPr>
      <w:r>
        <w:rPr>
          <w:b/>
          <w:bCs/>
        </w:rPr>
        <w:t xml:space="preserve">Version:</w:t>
      </w:r>
      <w:r>
        <w:t xml:space="preserve"> </w:t>
      </w:r>
      <w:r>
        <w:t xml:space="preserve">v0.1 (working draft)</w:t>
      </w:r>
      <w:r>
        <w:t xml:space="preserve"> </w:t>
      </w:r>
      <w:r>
        <w:rPr>
          <w:b/>
          <w:bCs/>
        </w:rPr>
        <w:t xml:space="preserve">Effective date:</w:t>
      </w:r>
      <w:r>
        <w:t xml:space="preserve"> </w:t>
      </w:r>
      <w:r>
        <w:t xml:space="preserve">[TO BE SET]</w:t>
      </w:r>
      <w:r>
        <w:t xml:space="preserve"> </w:t>
      </w:r>
      <w:r>
        <w:rPr>
          <w:b/>
          <w:bCs/>
        </w:rPr>
        <w:t xml:space="preserve">Owner:</w:t>
      </w:r>
      <w:r>
        <w:t xml:space="preserve"> </w:t>
      </w:r>
      <w:r>
        <w:t xml:space="preserve">[NAME / ROLE]</w:t>
      </w:r>
      <w:r>
        <w:t xml:space="preserve"> </w:t>
      </w:r>
      <w:r>
        <w:rPr>
          <w:b/>
          <w:bCs/>
        </w:rPr>
        <w:t xml:space="preserve">Last reviewed:</w:t>
      </w:r>
      <w:r>
        <w:t xml:space="preserve"> </w:t>
      </w:r>
      <w:r>
        <w:t xml:space="preserve">[DATE]</w:t>
      </w:r>
    </w:p>
    <w:p>
      <w:r>
        <w:pict>
          <v:rect style="width:0;height:1.5pt" o:hralign="center" o:hrstd="t" o:hr="t"/>
        </w:pict>
      </w:r>
    </w:p>
    <w:bookmarkStart w:id="9" w:name="important-how-to-use-this-document"/>
    <w:p>
      <w:pPr>
        <w:pStyle w:val="Heading2"/>
      </w:pPr>
      <w:r>
        <w:t xml:space="preserve">Important: how to use this document</w:t>
      </w:r>
    </w:p>
    <w:p>
      <w:pPr>
        <w:pStyle w:val="FirstParagraph"/>
      </w:pPr>
      <w:r>
        <w:t xml:space="preserve">This is an</w:t>
      </w:r>
      <w:r>
        <w:t xml:space="preserve"> </w:t>
      </w:r>
      <w:r>
        <w:rPr>
          <w:b/>
          <w:bCs/>
        </w:rPr>
        <w:t xml:space="preserve">editable starting outline</w:t>
      </w:r>
      <w:r>
        <w:t xml:space="preserve">, not legal advice and not a finished policy. It is intended to give your HR, Legal, IT, and compliance teams a head start on drafting an AI use policy that fits your organization.</w:t>
      </w:r>
    </w:p>
    <w:p>
      <w:pPr>
        <w:pStyle w:val="BodyText"/>
      </w:pPr>
      <w:r>
        <w:t xml:space="preserve">Wherever you see</w:t>
      </w:r>
      <w:r>
        <w:t xml:space="preserve"> </w:t>
      </w:r>
      <w:r>
        <w:rPr>
          <w:b/>
          <w:bCs/>
        </w:rPr>
        <w:t xml:space="preserve">[HR/LEGAL REVIEW]</w:t>
      </w:r>
      <w:r>
        <w:t xml:space="preserve">, that section needs input from people qualified to make those decisions in your jurisdiction and industry. Do not publish or enforce this document until those reviews are complete.</w:t>
      </w:r>
    </w:p>
    <w:p>
      <w:pPr>
        <w:pStyle w:val="BodyText"/>
      </w:pPr>
      <w:r>
        <w:t xml:space="preserve">Bring this to a working session, mark it up, and then take the marked-up version to your actual counsel before going live.</w:t>
      </w:r>
    </w:p>
    <w:p>
      <w:r>
        <w:pict>
          <v:rect style="width:0;height:1.5pt" o:hralign="center" o:hrstd="t" o:hr="t"/>
        </w:pict>
      </w:r>
    </w:p>
    <w:bookmarkEnd w:id="9"/>
    <w:bookmarkStart w:id="10" w:name="purpose"/>
    <w:p>
      <w:pPr>
        <w:pStyle w:val="Heading2"/>
      </w:pPr>
      <w:r>
        <w:t xml:space="preserve">1. Purpose</w:t>
      </w:r>
    </w:p>
    <w:p>
      <w:pPr>
        <w:pStyle w:val="FirstParagraph"/>
      </w:pPr>
      <w:r>
        <w:t xml:space="preserve">This policy describes how [ORGANIZATION NAME] employees, contractors, and partners may use artificial intelligence tools in connection with their work. Its purpose is to enable productive use of AI while protecting our data, our customers, our employees, and our intellectual property.</w:t>
      </w:r>
    </w:p>
    <w:p>
      <w:r>
        <w:pict>
          <v:rect style="width:0;height:1.5pt" o:hralign="center" o:hrstd="t" o:hr="t"/>
        </w:pict>
      </w:r>
    </w:p>
    <w:bookmarkEnd w:id="10"/>
    <w:bookmarkStart w:id="11" w:name="scope"/>
    <w:p>
      <w:pPr>
        <w:pStyle w:val="Heading2"/>
      </w:pPr>
      <w:r>
        <w:t xml:space="preserve">2. Scope</w:t>
      </w:r>
    </w:p>
    <w:p>
      <w:pPr>
        <w:pStyle w:val="FirstParagraph"/>
      </w:pPr>
      <w:r>
        <w:t xml:space="preserve">This policy applies to:</w:t>
      </w:r>
    </w:p>
    <w:p>
      <w:pPr>
        <w:pStyle w:val="Compact"/>
        <w:numPr>
          <w:ilvl w:val="0"/>
          <w:numId w:val="1001"/>
        </w:numPr>
      </w:pPr>
      <w:r>
        <w:t xml:space="preserve">All employees, contractors, and partners performing work for [ORGANIZATION NAME].</w:t>
      </w:r>
    </w:p>
    <w:p>
      <w:pPr>
        <w:pStyle w:val="Compact"/>
        <w:numPr>
          <w:ilvl w:val="0"/>
          <w:numId w:val="1001"/>
        </w:numPr>
      </w:pPr>
      <w:r>
        <w:t xml:space="preserve">All AI tools, services, and platforms used in connection with that work, regardless of who is paying for them.</w:t>
      </w:r>
    </w:p>
    <w:p>
      <w:pPr>
        <w:pStyle w:val="Compact"/>
        <w:numPr>
          <w:ilvl w:val="0"/>
          <w:numId w:val="1001"/>
        </w:numPr>
      </w:pPr>
      <w:r>
        <w:t xml:space="preserve">All data, content, and materials handled in the course of that work.</w:t>
      </w:r>
    </w:p>
    <w:p>
      <w:pPr>
        <w:pStyle w:val="FirstParagraph"/>
      </w:pPr>
      <w:r>
        <w:rPr>
          <w:b/>
          <w:bCs/>
        </w:rPr>
        <w:t xml:space="preserve">[HR/LEGAL REVIEW]</w:t>
      </w:r>
      <w:r>
        <w:t xml:space="preserve"> </w:t>
      </w:r>
      <w:r>
        <w:t xml:space="preserve">Confirm scope across employment classes, contractor agreements, and any cross-border considerations.</w:t>
      </w:r>
    </w:p>
    <w:p>
      <w:r>
        <w:pict>
          <v:rect style="width:0;height:1.5pt" o:hralign="center" o:hrstd="t" o:hr="t"/>
        </w:pict>
      </w:r>
    </w:p>
    <w:bookmarkEnd w:id="11"/>
    <w:bookmarkStart w:id="12" w:name="definitions"/>
    <w:p>
      <w:pPr>
        <w:pStyle w:val="Heading2"/>
      </w:pPr>
      <w:r>
        <w:t xml:space="preserve">3. Definitions</w:t>
      </w:r>
    </w:p>
    <w:p>
      <w:pPr>
        <w:pStyle w:val="FirstParagraph"/>
      </w:pPr>
      <w:r>
        <w:t xml:space="preserve">For the purposes of this policy:</w:t>
      </w:r>
    </w:p>
    <w:p>
      <w:pPr>
        <w:pStyle w:val="Compact"/>
        <w:numPr>
          <w:ilvl w:val="0"/>
          <w:numId w:val="1002"/>
        </w:numPr>
      </w:pPr>
      <w:r>
        <w:rPr>
          <w:b/>
          <w:bCs/>
        </w:rPr>
        <w:t xml:space="preserve">AI tool</w:t>
      </w:r>
      <w:r>
        <w:t xml:space="preserve"> </w:t>
      </w:r>
      <w:r>
        <w:t xml:space="preserve">means any software, service, or platform that uses machine learning, large language models, or generative models to produce text, code, images, audio, video, or decisions.</w:t>
      </w:r>
    </w:p>
    <w:p>
      <w:pPr>
        <w:pStyle w:val="Compact"/>
        <w:numPr>
          <w:ilvl w:val="0"/>
          <w:numId w:val="1002"/>
        </w:numPr>
      </w:pPr>
      <w:r>
        <w:rPr>
          <w:b/>
          <w:bCs/>
        </w:rPr>
        <w:t xml:space="preserve">Public AI tool</w:t>
      </w:r>
      <w:r>
        <w:t xml:space="preserve"> </w:t>
      </w:r>
      <w:r>
        <w:t xml:space="preserve">means an AI tool offered without a written agreement covering data handling, retention, and training.</w:t>
      </w:r>
    </w:p>
    <w:p>
      <w:pPr>
        <w:pStyle w:val="Compact"/>
        <w:numPr>
          <w:ilvl w:val="0"/>
          <w:numId w:val="1002"/>
        </w:numPr>
      </w:pPr>
      <w:r>
        <w:rPr>
          <w:b/>
          <w:bCs/>
        </w:rPr>
        <w:t xml:space="preserve">Enterprise AI tool</w:t>
      </w:r>
      <w:r>
        <w:t xml:space="preserve"> </w:t>
      </w:r>
      <w:r>
        <w:t xml:space="preserve">means an AI tool covered by a written agreement that addresses data handling, retention, training, and confidentiality.</w:t>
      </w:r>
    </w:p>
    <w:p>
      <w:pPr>
        <w:pStyle w:val="Compact"/>
        <w:numPr>
          <w:ilvl w:val="0"/>
          <w:numId w:val="1002"/>
        </w:numPr>
      </w:pPr>
      <w:r>
        <w:rPr>
          <w:b/>
          <w:bCs/>
        </w:rPr>
        <w:t xml:space="preserve">Proprietary information</w:t>
      </w:r>
      <w:r>
        <w:t xml:space="preserve"> </w:t>
      </w:r>
      <w:r>
        <w:t xml:space="preserve">means non-public information owned by [ORGANIZATION NAME], its customers, partners, or employees, including but not limited to financials, customer data, source code, product designs, and personnel records.</w:t>
      </w:r>
    </w:p>
    <w:p>
      <w:pPr>
        <w:pStyle w:val="FirstParagraph"/>
      </w:pPr>
      <w:r>
        <w:rPr>
          <w:b/>
          <w:bCs/>
        </w:rPr>
        <w:t xml:space="preserve">[HR/LEGAL REVIEW]</w:t>
      </w:r>
      <w:r>
        <w:t xml:space="preserve"> </w:t>
      </w:r>
      <w:r>
        <w:t xml:space="preserve">Align definitions with your existing data classification policy and any regulatory framework you operate under (GDPR, CCPA, HIPAA, SOC 2, etc.).</w:t>
      </w:r>
    </w:p>
    <w:p>
      <w:r>
        <w:pict>
          <v:rect style="width:0;height:1.5pt" o:hralign="center" o:hrstd="t" o:hr="t"/>
        </w:pict>
      </w:r>
    </w:p>
    <w:bookmarkEnd w:id="12"/>
    <w:bookmarkStart w:id="13" w:name="default-tool"/>
    <w:p>
      <w:pPr>
        <w:pStyle w:val="Heading2"/>
      </w:pPr>
      <w:r>
        <w:t xml:space="preserve">4. Default tool</w:t>
      </w:r>
    </w:p>
    <w:p>
      <w:pPr>
        <w:pStyle w:val="FirstParagraph"/>
      </w:pPr>
      <w:r>
        <w:t xml:space="preserve">The default AI tool for general work at [ORGANIZATION NAME] is</w:t>
      </w:r>
      <w:r>
        <w:t xml:space="preserve"> </w:t>
      </w:r>
      <w:r>
        <w:rPr>
          <w:b/>
          <w:bCs/>
        </w:rPr>
        <w:t xml:space="preserve">[TOOL NAME]</w:t>
      </w:r>
      <w:r>
        <w:t xml:space="preserve">, available through</w:t>
      </w:r>
      <w:r>
        <w:t xml:space="preserve"> </w:t>
      </w:r>
      <w:r>
        <w:rPr>
          <w:b/>
          <w:bCs/>
        </w:rPr>
        <w:t xml:space="preserve">[CHANNEL: SSO / direct license / managed account]</w:t>
      </w:r>
      <w:r>
        <w:t xml:space="preserve">.</w:t>
      </w:r>
    </w:p>
    <w:p>
      <w:pPr>
        <w:pStyle w:val="BodyText"/>
      </w:pPr>
      <w:r>
        <w:t xml:space="preserve">This is the tool to use when no other tool is specifically approved for the task. Use of the default tool is permitted for any work that complies with sections 5 and 6 below.</w:t>
      </w:r>
    </w:p>
    <w:p>
      <w:pPr>
        <w:pStyle w:val="BodyText"/>
      </w:pPr>
      <w:r>
        <w:rPr>
          <w:b/>
          <w:bCs/>
        </w:rPr>
        <w:t xml:space="preserve">[HR/LEGAL REVIEW]</w:t>
      </w:r>
      <w:r>
        <w:t xml:space="preserve"> </w:t>
      </w:r>
      <w:r>
        <w:t xml:space="preserve">Verify the contract with the default-tool vendor covers data retention, training opt-out, and any required regional data residency.</w:t>
      </w:r>
    </w:p>
    <w:p>
      <w:r>
        <w:pict>
          <v:rect style="width:0;height:1.5pt" o:hralign="center" o:hrstd="t" o:hr="t"/>
        </w:pict>
      </w:r>
    </w:p>
    <w:bookmarkEnd w:id="13"/>
    <w:bookmarkStart w:id="14" w:name="approved-alternatives"/>
    <w:p>
      <w:pPr>
        <w:pStyle w:val="Heading2"/>
      </w:pPr>
      <w:r>
        <w:t xml:space="preserve">5. Approved alternatives</w:t>
      </w:r>
    </w:p>
    <w:p>
      <w:pPr>
        <w:pStyle w:val="FirstParagraph"/>
      </w:pPr>
      <w:r>
        <w:t xml:space="preserve">The following AI tools are approved for specific tasks:</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Tool</w:t>
            </w:r>
          </w:p>
        </w:tc>
        <w:tc>
          <w:tcPr/>
          <w:p>
            <w:pPr>
              <w:pStyle w:val="Compact"/>
            </w:pPr>
            <w:r>
              <w:t xml:space="preserve">Approved for</w:t>
            </w:r>
          </w:p>
        </w:tc>
        <w:tc>
          <w:tcPr/>
          <w:p>
            <w:pPr>
              <w:pStyle w:val="Compact"/>
            </w:pPr>
            <w:r>
              <w:t xml:space="preserve">Approved by</w:t>
            </w:r>
          </w:p>
        </w:tc>
        <w:tc>
          <w:tcPr/>
          <w:p>
            <w:pPr>
              <w:pStyle w:val="Compact"/>
            </w:pPr>
            <w:r>
              <w:t xml:space="preserve">Date</w:t>
            </w:r>
          </w:p>
        </w:tc>
      </w:tr>
      <w:tr>
        <w:tc>
          <w:tcPr/>
          <w:p>
            <w:pPr>
              <w:pStyle w:val="Compact"/>
            </w:pPr>
            <w:r>
              <w:t xml:space="preserve">[TOOL]</w:t>
            </w:r>
          </w:p>
        </w:tc>
        <w:tc>
          <w:tcPr/>
          <w:p>
            <w:pPr>
              <w:pStyle w:val="Compact"/>
            </w:pPr>
            <w:r>
              <w:t xml:space="preserve">[TASK]</w:t>
            </w:r>
          </w:p>
        </w:tc>
        <w:tc>
          <w:tcPr/>
          <w:p>
            <w:pPr>
              <w:pStyle w:val="Compact"/>
            </w:pPr>
            <w:r>
              <w:t xml:space="preserve">[PERSON / ROLE]</w:t>
            </w:r>
          </w:p>
        </w:tc>
        <w:tc>
          <w:tcPr/>
          <w:p>
            <w:pPr>
              <w:pStyle w:val="Compact"/>
            </w:pPr>
            <w:r>
              <w:t xml:space="preserve">[DATE]</w:t>
            </w:r>
          </w:p>
        </w:tc>
      </w:tr>
      <w:tr>
        <w:tc>
          <w:tcPr/>
          <w:p>
            <w:pPr>
              <w:pStyle w:val="Compact"/>
            </w:pPr>
            <w:r>
              <w:t xml:space="preserve">[TOOL]</w:t>
            </w:r>
          </w:p>
        </w:tc>
        <w:tc>
          <w:tcPr/>
          <w:p>
            <w:pPr>
              <w:pStyle w:val="Compact"/>
            </w:pPr>
            <w:r>
              <w:t xml:space="preserve">[TASK]</w:t>
            </w:r>
          </w:p>
        </w:tc>
        <w:tc>
          <w:tcPr/>
          <w:p>
            <w:pPr>
              <w:pStyle w:val="Compact"/>
            </w:pPr>
            <w:r>
              <w:t xml:space="preserve">[PERSON / ROLE]</w:t>
            </w:r>
          </w:p>
        </w:tc>
        <w:tc>
          <w:tcPr/>
          <w:p>
            <w:pPr>
              <w:pStyle w:val="Compact"/>
            </w:pPr>
            <w:r>
              <w:t xml:space="preserve">[DATE]</w:t>
            </w:r>
          </w:p>
        </w:tc>
      </w:tr>
    </w:tbl>
    <w:p>
      <w:pPr>
        <w:pStyle w:val="BodyText"/>
      </w:pPr>
      <w:r>
        <w:t xml:space="preserve">Use of any AI tool not on this list, or not the default, requires written approval from</w:t>
      </w:r>
      <w:r>
        <w:t xml:space="preserve"> </w:t>
      </w:r>
      <w:r>
        <w:rPr>
          <w:b/>
          <w:bCs/>
        </w:rPr>
        <w:t xml:space="preserve">[ROLE: e.g., the Director of IT or Information Security Officer]</w:t>
      </w:r>
      <w:r>
        <w:t xml:space="preserve"> </w:t>
      </w:r>
      <w:r>
        <w:t xml:space="preserve">before being used for work.</w:t>
      </w:r>
    </w:p>
    <w:p>
      <w:r>
        <w:pict>
          <v:rect style="width:0;height:1.5pt" o:hralign="center" o:hrstd="t" o:hr="t"/>
        </w:pict>
      </w:r>
    </w:p>
    <w:bookmarkEnd w:id="14"/>
    <w:bookmarkStart w:id="15" w:name="allowed-uses"/>
    <w:p>
      <w:pPr>
        <w:pStyle w:val="Heading2"/>
      </w:pPr>
      <w:r>
        <w:t xml:space="preserve">6. Allowed uses</w:t>
      </w:r>
    </w:p>
    <w:p>
      <w:pPr>
        <w:pStyle w:val="FirstParagraph"/>
      </w:pPr>
      <w:r>
        <w:t xml:space="preserve">Subject to sections 7 and 8, employees may use approved AI tools to:</w:t>
      </w:r>
    </w:p>
    <w:p>
      <w:pPr>
        <w:pStyle w:val="Compact"/>
        <w:numPr>
          <w:ilvl w:val="0"/>
          <w:numId w:val="1003"/>
        </w:numPr>
      </w:pPr>
      <w:r>
        <w:t xml:space="preserve">Draft and revise written communications (emails, memos, reports, documentation).</w:t>
      </w:r>
    </w:p>
    <w:p>
      <w:pPr>
        <w:pStyle w:val="Compact"/>
        <w:numPr>
          <w:ilvl w:val="0"/>
          <w:numId w:val="1003"/>
        </w:numPr>
      </w:pPr>
      <w:r>
        <w:t xml:space="preserve">Summarize public documents, meeting transcripts, and other non-sensitive materials.</w:t>
      </w:r>
    </w:p>
    <w:p>
      <w:pPr>
        <w:pStyle w:val="Compact"/>
        <w:numPr>
          <w:ilvl w:val="0"/>
          <w:numId w:val="1003"/>
        </w:numPr>
      </w:pPr>
      <w:r>
        <w:t xml:space="preserve">Generate code, formulas, and scripts for internal use, subject to human review before deployment.</w:t>
      </w:r>
    </w:p>
    <w:p>
      <w:pPr>
        <w:pStyle w:val="Compact"/>
        <w:numPr>
          <w:ilvl w:val="0"/>
          <w:numId w:val="1003"/>
        </w:numPr>
      </w:pPr>
      <w:r>
        <w:t xml:space="preserve">Brainstorm, ideate, and generate first drafts of creative work.</w:t>
      </w:r>
    </w:p>
    <w:p>
      <w:pPr>
        <w:pStyle w:val="Compact"/>
        <w:numPr>
          <w:ilvl w:val="0"/>
          <w:numId w:val="1003"/>
        </w:numPr>
      </w:pPr>
      <w:r>
        <w:t xml:space="preserve">Translate between languages.</w:t>
      </w:r>
    </w:p>
    <w:p>
      <w:pPr>
        <w:pStyle w:val="Compact"/>
        <w:numPr>
          <w:ilvl w:val="0"/>
          <w:numId w:val="1003"/>
        </w:numPr>
      </w:pPr>
      <w:r>
        <w:t xml:space="preserve">Search the web and synthesize publicly available information.</w:t>
      </w:r>
    </w:p>
    <w:p>
      <w:pPr>
        <w:pStyle w:val="Compact"/>
        <w:numPr>
          <w:ilvl w:val="0"/>
          <w:numId w:val="1003"/>
        </w:numPr>
      </w:pPr>
      <w:r>
        <w:t xml:space="preserve">Perform other tasks consistent with the spirit of this policy.</w:t>
      </w:r>
    </w:p>
    <w:p>
      <w:r>
        <w:pict>
          <v:rect style="width:0;height:1.5pt" o:hralign="center" o:hrstd="t" o:hr="t"/>
        </w:pict>
      </w:r>
    </w:p>
    <w:bookmarkEnd w:id="15"/>
    <w:bookmarkStart w:id="16" w:name="prohibited-uses"/>
    <w:p>
      <w:pPr>
        <w:pStyle w:val="Heading2"/>
      </w:pPr>
      <w:r>
        <w:t xml:space="preserve">7. Prohibited uses</w:t>
      </w:r>
    </w:p>
    <w:p>
      <w:pPr>
        <w:pStyle w:val="FirstParagraph"/>
      </w:pPr>
      <w:r>
        <w:t xml:space="preserve">Employees must not use any AI tool to:</w:t>
      </w:r>
    </w:p>
    <w:p>
      <w:pPr>
        <w:pStyle w:val="Compact"/>
        <w:numPr>
          <w:ilvl w:val="0"/>
          <w:numId w:val="1004"/>
        </w:numPr>
      </w:pPr>
      <w:r>
        <w:t xml:space="preserve">Input, upload, paste, or transmit proprietary information into a public AI tool.</w:t>
      </w:r>
    </w:p>
    <w:p>
      <w:pPr>
        <w:pStyle w:val="Compact"/>
        <w:numPr>
          <w:ilvl w:val="0"/>
          <w:numId w:val="1004"/>
        </w:numPr>
      </w:pPr>
      <w:r>
        <w:t xml:space="preserve">Input, upload, paste, or transmit any customer, employee, or partner data covered by a confidentiality or privacy obligation, into any AI tool not specifically approved for that data category.</w:t>
      </w:r>
    </w:p>
    <w:p>
      <w:pPr>
        <w:pStyle w:val="Compact"/>
        <w:numPr>
          <w:ilvl w:val="0"/>
          <w:numId w:val="1004"/>
        </w:numPr>
      </w:pPr>
      <w:r>
        <w:t xml:space="preserve">Produce final, customer-facing, or legally binding content without human review.</w:t>
      </w:r>
    </w:p>
    <w:p>
      <w:pPr>
        <w:pStyle w:val="Compact"/>
        <w:numPr>
          <w:ilvl w:val="0"/>
          <w:numId w:val="1004"/>
        </w:numPr>
      </w:pPr>
      <w:r>
        <w:t xml:space="preserve">Make hiring, firing, promotion, compensation, discipline, or performance-evaluation decisions about employees or candidates.</w:t>
      </w:r>
    </w:p>
    <w:p>
      <w:pPr>
        <w:pStyle w:val="Compact"/>
        <w:numPr>
          <w:ilvl w:val="0"/>
          <w:numId w:val="1004"/>
        </w:numPr>
      </w:pPr>
      <w:r>
        <w:t xml:space="preserve">Generate content intended to deceive, harass, or impersonate any person.</w:t>
      </w:r>
    </w:p>
    <w:p>
      <w:pPr>
        <w:pStyle w:val="Compact"/>
        <w:numPr>
          <w:ilvl w:val="0"/>
          <w:numId w:val="1004"/>
        </w:numPr>
      </w:pPr>
      <w:r>
        <w:t xml:space="preserve">Circumvent any other policy, contract, or law.</w:t>
      </w:r>
    </w:p>
    <w:p>
      <w:pPr>
        <w:pStyle w:val="FirstParagraph"/>
      </w:pPr>
      <w:r>
        <w:rPr>
          <w:b/>
          <w:bCs/>
        </w:rPr>
        <w:t xml:space="preserve">[HR/LEGAL REVIEW]</w:t>
      </w:r>
      <w:r>
        <w:t xml:space="preserve"> </w:t>
      </w:r>
      <w:r>
        <w:t xml:space="preserve">This list often expands based on industry. For example, healthcare adds patient data prohibitions; financial services adds material non-public information rules; aftermarket and other regulated sectors may have warranty, compliance, and OEM disclosure considerations.</w:t>
      </w:r>
    </w:p>
    <w:p>
      <w:r>
        <w:pict>
          <v:rect style="width:0;height:1.5pt" o:hralign="center" o:hrstd="t" o:hr="t"/>
        </w:pict>
      </w:r>
    </w:p>
    <w:bookmarkEnd w:id="16"/>
    <w:bookmarkStart w:id="17" w:name="data-handling"/>
    <w:p>
      <w:pPr>
        <w:pStyle w:val="Heading2"/>
      </w:pPr>
      <w:r>
        <w:t xml:space="preserve">8. Data handling</w:t>
      </w:r>
    </w:p>
    <w:p>
      <w:pPr>
        <w:pStyle w:val="FirstParagraph"/>
      </w:pPr>
      <w:r>
        <w:t xml:space="preserve">When using any AI tool:</w:t>
      </w:r>
    </w:p>
    <w:p>
      <w:pPr>
        <w:pStyle w:val="Compact"/>
        <w:numPr>
          <w:ilvl w:val="0"/>
          <w:numId w:val="1005"/>
        </w:numPr>
      </w:pPr>
      <w:r>
        <w:t xml:space="preserve">Treat any input to a public AI tool as if it could be made public.</w:t>
      </w:r>
    </w:p>
    <w:p>
      <w:pPr>
        <w:pStyle w:val="Compact"/>
        <w:numPr>
          <w:ilvl w:val="0"/>
          <w:numId w:val="1005"/>
        </w:numPr>
      </w:pPr>
      <w:r>
        <w:t xml:space="preserve">Use enterprise tiers with written zero-retention or training opt-out agreements for any work touching proprietary or regulated data.</w:t>
      </w:r>
    </w:p>
    <w:p>
      <w:pPr>
        <w:pStyle w:val="Compact"/>
        <w:numPr>
          <w:ilvl w:val="0"/>
          <w:numId w:val="1005"/>
        </w:numPr>
      </w:pPr>
      <w:r>
        <w:t xml:space="preserve">Audit your app permissions yearly. If an AI tool requests broader access than the task requires, deny it.</w:t>
      </w:r>
    </w:p>
    <w:p>
      <w:pPr>
        <w:pStyle w:val="Compact"/>
        <w:numPr>
          <w:ilvl w:val="0"/>
          <w:numId w:val="1005"/>
        </w:numPr>
      </w:pPr>
      <w:r>
        <w:t xml:space="preserve">Disclose AI involvement in any customer-facing communication, deliverable, or decision where transparency is expected by your audience or required by law.</w:t>
      </w:r>
    </w:p>
    <w:p>
      <w:pPr>
        <w:pStyle w:val="FirstParagraph"/>
      </w:pPr>
      <w:r>
        <w:rPr>
          <w:b/>
          <w:bCs/>
        </w:rPr>
        <w:t xml:space="preserve">[HR/LEGAL REVIEW]</w:t>
      </w:r>
      <w:r>
        <w:t xml:space="preserve"> </w:t>
      </w:r>
      <w:r>
        <w:t xml:space="preserve">Disclosure obligations vary substantially by jurisdiction and use case. Confirm with counsel whether AI-assisted content requires disclosure in your contracts, marketing, customer support, or regulated deliverables.</w:t>
      </w:r>
    </w:p>
    <w:p>
      <w:r>
        <w:pict>
          <v:rect style="width:0;height:1.5pt" o:hralign="center" o:hrstd="t" o:hr="t"/>
        </w:pict>
      </w:r>
    </w:p>
    <w:bookmarkEnd w:id="17"/>
    <w:bookmarkStart w:id="18" w:name="vendor-management"/>
    <w:p>
      <w:pPr>
        <w:pStyle w:val="Heading2"/>
      </w:pPr>
      <w:r>
        <w:t xml:space="preserve">9. Vendor management</w:t>
      </w:r>
    </w:p>
    <w:p>
      <w:pPr>
        <w:pStyle w:val="FirstParagraph"/>
      </w:pPr>
      <w:r>
        <w:t xml:space="preserve">Before any AI tool is approved for use under section 5:</w:t>
      </w:r>
    </w:p>
    <w:p>
      <w:pPr>
        <w:pStyle w:val="Compact"/>
        <w:numPr>
          <w:ilvl w:val="0"/>
          <w:numId w:val="1006"/>
        </w:numPr>
      </w:pPr>
      <w:r>
        <w:t xml:space="preserve">The vendor’s data handling, retention, and training practices must be reviewed.</w:t>
      </w:r>
    </w:p>
    <w:p>
      <w:pPr>
        <w:pStyle w:val="Compact"/>
        <w:numPr>
          <w:ilvl w:val="0"/>
          <w:numId w:val="1006"/>
        </w:numPr>
      </w:pPr>
      <w:r>
        <w:t xml:space="preserve">A current Data Processing Agreement (or equivalent) must be in place where required.</w:t>
      </w:r>
    </w:p>
    <w:p>
      <w:pPr>
        <w:pStyle w:val="Compact"/>
        <w:numPr>
          <w:ilvl w:val="0"/>
          <w:numId w:val="1006"/>
        </w:numPr>
      </w:pPr>
      <w:r>
        <w:t xml:space="preserve">The tool’s security posture must be reviewed against [ORGANIZATION NAME]’s standards.</w:t>
      </w:r>
    </w:p>
    <w:p>
      <w:pPr>
        <w:pStyle w:val="Compact"/>
        <w:numPr>
          <w:ilvl w:val="0"/>
          <w:numId w:val="1006"/>
        </w:numPr>
      </w:pPr>
      <w:r>
        <w:t xml:space="preserve">A renewal/review date must be scheduled.</w:t>
      </w:r>
    </w:p>
    <w:p>
      <w:pPr>
        <w:pStyle w:val="FirstParagraph"/>
      </w:pPr>
      <w:r>
        <w:rPr>
          <w:b/>
          <w:bCs/>
        </w:rPr>
        <w:t xml:space="preserve">[HR/LEGAL REVIEW]</w:t>
      </w:r>
      <w:r>
        <w:t xml:space="preserve"> </w:t>
      </w:r>
      <w:r>
        <w:t xml:space="preserve">This section should map to your existing vendor management process. If you do not have one, this is the section to develop in collaboration with your IT, Security, and Legal teams.</w:t>
      </w:r>
    </w:p>
    <w:p>
      <w:r>
        <w:pict>
          <v:rect style="width:0;height:1.5pt" o:hralign="center" o:hrstd="t" o:hr="t"/>
        </w:pict>
      </w:r>
    </w:p>
    <w:bookmarkEnd w:id="18"/>
    <w:bookmarkStart w:id="19" w:name="training"/>
    <w:p>
      <w:pPr>
        <w:pStyle w:val="Heading2"/>
      </w:pPr>
      <w:r>
        <w:t xml:space="preserve">10. Training</w:t>
      </w:r>
    </w:p>
    <w:p>
      <w:pPr>
        <w:pStyle w:val="FirstParagraph"/>
      </w:pPr>
      <w:r>
        <w:t xml:space="preserve">[ORGANIZATION NAME] will provide:</w:t>
      </w:r>
    </w:p>
    <w:p>
      <w:pPr>
        <w:pStyle w:val="Compact"/>
        <w:numPr>
          <w:ilvl w:val="0"/>
          <w:numId w:val="1007"/>
        </w:numPr>
      </w:pPr>
      <w:r>
        <w:t xml:space="preserve">Onboarding training on this policy for all new employees and contractors.</w:t>
      </w:r>
    </w:p>
    <w:p>
      <w:pPr>
        <w:pStyle w:val="Compact"/>
        <w:numPr>
          <w:ilvl w:val="0"/>
          <w:numId w:val="1007"/>
        </w:numPr>
      </w:pPr>
      <w:r>
        <w:t xml:space="preserve">Periodic refresher training when this policy is materially updated.</w:t>
      </w:r>
    </w:p>
    <w:p>
      <w:pPr>
        <w:pStyle w:val="Compact"/>
        <w:numPr>
          <w:ilvl w:val="0"/>
          <w:numId w:val="1007"/>
        </w:numPr>
      </w:pPr>
      <w:r>
        <w:t xml:space="preserve">Role-appropriate AI literacy training to help employees use approved tools well.</w:t>
      </w:r>
    </w:p>
    <w:p>
      <w:pPr>
        <w:pStyle w:val="FirstParagraph"/>
      </w:pPr>
      <w:r>
        <w:t xml:space="preserve">Employees are expected to complete required training within [TIMEFRAME] of starting or of policy changes.</w:t>
      </w:r>
    </w:p>
    <w:p>
      <w:pPr>
        <w:pStyle w:val="BodyText"/>
      </w:pPr>
      <w:r>
        <w:rPr>
          <w:b/>
          <w:bCs/>
        </w:rPr>
        <w:t xml:space="preserve">[HR/LEGAL REVIEW]</w:t>
      </w:r>
      <w:r>
        <w:t xml:space="preserve"> </w:t>
      </w:r>
      <w:r>
        <w:t xml:space="preserve">Document completion tracking, especially in regulated industries.</w:t>
      </w:r>
    </w:p>
    <w:p>
      <w:r>
        <w:pict>
          <v:rect style="width:0;height:1.5pt" o:hralign="center" o:hrstd="t" o:hr="t"/>
        </w:pict>
      </w:r>
    </w:p>
    <w:bookmarkEnd w:id="19"/>
    <w:bookmarkStart w:id="20" w:name="incident-and-near-miss-reporting"/>
    <w:p>
      <w:pPr>
        <w:pStyle w:val="Heading2"/>
      </w:pPr>
      <w:r>
        <w:t xml:space="preserve">11. Incident and near-miss reporting</w:t>
      </w:r>
    </w:p>
    <w:p>
      <w:pPr>
        <w:pStyle w:val="FirstParagraph"/>
      </w:pPr>
      <w:r>
        <w:t xml:space="preserve">If an employee believes proprietary information may have been entered into a public AI tool, or that any provision of this policy has been violated:</w:t>
      </w:r>
    </w:p>
    <w:p>
      <w:pPr>
        <w:pStyle w:val="Compact"/>
        <w:numPr>
          <w:ilvl w:val="0"/>
          <w:numId w:val="1008"/>
        </w:numPr>
      </w:pPr>
      <w:r>
        <w:t xml:space="preserve">Report the incident or near-miss to</w:t>
      </w:r>
      <w:r>
        <w:t xml:space="preserve"> </w:t>
      </w:r>
      <w:r>
        <w:rPr>
          <w:b/>
          <w:bCs/>
        </w:rPr>
        <w:t xml:space="preserve">[ROLE: e.g., the Information Security Officer or compliance@orgname.com]</w:t>
      </w:r>
      <w:r>
        <w:t xml:space="preserve"> </w:t>
      </w:r>
      <w:r>
        <w:t xml:space="preserve">within [TIMEFRAME, e.g., 24 hours] of discovery.</w:t>
      </w:r>
    </w:p>
    <w:p>
      <w:pPr>
        <w:pStyle w:val="Compact"/>
        <w:numPr>
          <w:ilvl w:val="0"/>
          <w:numId w:val="1008"/>
        </w:numPr>
      </w:pPr>
      <w:r>
        <w:t xml:space="preserve">Cooperate fully with any investigation.</w:t>
      </w:r>
    </w:p>
    <w:p>
      <w:pPr>
        <w:pStyle w:val="Compact"/>
        <w:numPr>
          <w:ilvl w:val="0"/>
          <w:numId w:val="1008"/>
        </w:numPr>
      </w:pPr>
      <w:r>
        <w:t xml:space="preserve">Reporting in good faith will not be the basis for disciplinary action.</w:t>
      </w:r>
    </w:p>
    <w:p>
      <w:pPr>
        <w:pStyle w:val="FirstParagraph"/>
      </w:pPr>
      <w:r>
        <w:rPr>
          <w:b/>
          <w:bCs/>
        </w:rPr>
        <w:t xml:space="preserve">[HR/LEGAL REVIEW]</w:t>
      </w:r>
      <w:r>
        <w:t xml:space="preserve"> </w:t>
      </w:r>
      <w:r>
        <w:t xml:space="preserve">Align reporting language with any existing whistleblower or incident response policy.</w:t>
      </w:r>
    </w:p>
    <w:p>
      <w:r>
        <w:pict>
          <v:rect style="width:0;height:1.5pt" o:hralign="center" o:hrstd="t" o:hr="t"/>
        </w:pict>
      </w:r>
    </w:p>
    <w:bookmarkEnd w:id="20"/>
    <w:bookmarkStart w:id="21" w:name="enforcement"/>
    <w:p>
      <w:pPr>
        <w:pStyle w:val="Heading2"/>
      </w:pPr>
      <w:r>
        <w:t xml:space="preserve">12. Enforcement</w:t>
      </w:r>
    </w:p>
    <w:p>
      <w:pPr>
        <w:pStyle w:val="FirstParagraph"/>
      </w:pPr>
      <w:r>
        <w:t xml:space="preserve">Violations of this policy may result in disciplinary action up to and including termination of employment or contract, and may also result in civil or criminal liability where applicable.</w:t>
      </w:r>
    </w:p>
    <w:p>
      <w:pPr>
        <w:pStyle w:val="BodyText"/>
      </w:pPr>
      <w:r>
        <w:rPr>
          <w:b/>
          <w:bCs/>
        </w:rPr>
        <w:t xml:space="preserve">[HR/LEGAL REVIEW]</w:t>
      </w:r>
      <w:r>
        <w:t xml:space="preserve"> </w:t>
      </w:r>
      <w:r>
        <w:t xml:space="preserve">This section must align with your existing disciplinary framework and employment agreements.</w:t>
      </w:r>
    </w:p>
    <w:p>
      <w:r>
        <w:pict>
          <v:rect style="width:0;height:1.5pt" o:hralign="center" o:hrstd="t" o:hr="t"/>
        </w:pict>
      </w:r>
    </w:p>
    <w:bookmarkEnd w:id="21"/>
    <w:bookmarkStart w:id="22" w:name="review-cadence"/>
    <w:p>
      <w:pPr>
        <w:pStyle w:val="Heading2"/>
      </w:pPr>
      <w:r>
        <w:t xml:space="preserve">13. Review cadence</w:t>
      </w:r>
    </w:p>
    <w:p>
      <w:pPr>
        <w:pStyle w:val="FirstParagraph"/>
      </w:pPr>
      <w:r>
        <w:t xml:space="preserve">This policy will be reviewed and updated:</w:t>
      </w:r>
    </w:p>
    <w:p>
      <w:pPr>
        <w:pStyle w:val="Compact"/>
        <w:numPr>
          <w:ilvl w:val="0"/>
          <w:numId w:val="1009"/>
        </w:numPr>
      </w:pPr>
      <w:r>
        <w:t xml:space="preserve">At least once every [TIMEFRAME, e.g., 12 months].</w:t>
      </w:r>
    </w:p>
    <w:p>
      <w:pPr>
        <w:pStyle w:val="Compact"/>
        <w:numPr>
          <w:ilvl w:val="0"/>
          <w:numId w:val="1009"/>
        </w:numPr>
      </w:pPr>
      <w:r>
        <w:t xml:space="preserve">Following any material change in applicable law or regulation.</w:t>
      </w:r>
    </w:p>
    <w:p>
      <w:pPr>
        <w:pStyle w:val="Compact"/>
        <w:numPr>
          <w:ilvl w:val="0"/>
          <w:numId w:val="1009"/>
        </w:numPr>
      </w:pPr>
      <w:r>
        <w:t xml:space="preserve">Following any significant change in [ORGANIZATION NAME]’s AI tool stack.</w:t>
      </w:r>
    </w:p>
    <w:p>
      <w:pPr>
        <w:pStyle w:val="Compact"/>
        <w:numPr>
          <w:ilvl w:val="0"/>
          <w:numId w:val="1009"/>
        </w:numPr>
      </w:pPr>
      <w:r>
        <w:t xml:space="preserve">Following any reported incident under section 11.</w:t>
      </w:r>
    </w:p>
    <w:p>
      <w:pPr>
        <w:pStyle w:val="FirstParagraph"/>
      </w:pPr>
      <w:r>
        <w:t xml:space="preserve">The policy owner is responsible for initiating review.</w:t>
      </w:r>
    </w:p>
    <w:p>
      <w:r>
        <w:pict>
          <v:rect style="width:0;height:1.5pt" o:hralign="center" o:hrstd="t" o:hr="t"/>
        </w:pict>
      </w:r>
    </w:p>
    <w:bookmarkEnd w:id="22"/>
    <w:bookmarkStart w:id="23" w:name="acknowledgment"/>
    <w:p>
      <w:pPr>
        <w:pStyle w:val="Heading2"/>
      </w:pPr>
      <w:r>
        <w:t xml:space="preserve">14. Acknowledgment</w:t>
      </w:r>
    </w:p>
    <w:p>
      <w:pPr>
        <w:pStyle w:val="FirstParagraph"/>
      </w:pPr>
      <w:r>
        <w:t xml:space="preserve">I acknowledge that I have read, understood, and agree to comply with this AI Use Policy.</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Name</w:t>
            </w:r>
          </w:p>
        </w:tc>
        <w:tc>
          <w:tcPr/>
          <w:p>
            <w:pPr>
              <w:pStyle w:val="Compact"/>
            </w:pPr>
            <w:r>
              <w:t xml:space="preserve">Role</w:t>
            </w:r>
          </w:p>
        </w:tc>
        <w:tc>
          <w:tcPr/>
          <w:p>
            <w:pPr>
              <w:pStyle w:val="Compact"/>
            </w:pPr>
            <w:r>
              <w:t xml:space="preserve">Signature</w:t>
            </w:r>
          </w:p>
        </w:tc>
        <w:tc>
          <w:tcPr/>
          <w:p>
            <w:pPr>
              <w:pStyle w:val="Compact"/>
            </w:pPr>
            <w:r>
              <w:t xml:space="preserve">Date</w:t>
            </w:r>
          </w:p>
        </w:tc>
      </w:tr>
      <w:tr>
        <w:tc>
          <w:tcPr/>
          <w:p>
            <w:pPr>
              <w:pStyle w:val="Compact"/>
            </w:pPr>
          </w:p>
        </w:tc>
        <w:tc>
          <w:tcPr/>
          <w:p>
            <w:pPr>
              <w:pStyle w:val="Compact"/>
            </w:pPr>
          </w:p>
        </w:tc>
        <w:tc>
          <w:tcPr/>
          <w:p>
            <w:pPr>
              <w:pStyle w:val="Compact"/>
            </w:pPr>
          </w:p>
        </w:tc>
        <w:tc>
          <w:tcPr/>
          <w:p>
            <w:pPr>
              <w:pStyle w:val="Compact"/>
            </w:pPr>
          </w:p>
        </w:tc>
      </w:tr>
    </w:tbl>
    <w:p>
      <w:pPr>
        <w:pStyle w:val="BodyText"/>
      </w:pPr>
      <w:r>
        <w:rPr>
          <w:b/>
          <w:bCs/>
        </w:rPr>
        <w:t xml:space="preserve">[HR/LEGAL REVIEW]</w:t>
      </w:r>
      <w:r>
        <w:t xml:space="preserve"> </w:t>
      </w:r>
      <w:r>
        <w:t xml:space="preserve">Acknowledgment requirements vary by jurisdiction. In some places, signed acknowledgment is required to enforce policy; in others, it is recommended but not required.</w:t>
      </w:r>
    </w:p>
    <w:p>
      <w:r>
        <w:pict>
          <v:rect style="width:0;height:1.5pt" o:hralign="center" o:hrstd="t" o:hr="t"/>
        </w:pict>
      </w:r>
    </w:p>
    <w:bookmarkEnd w:id="23"/>
    <w:bookmarkStart w:id="24" w:name="X11d6a6c4648da6793729c07e23049d2d2076092"/>
    <w:p>
      <w:pPr>
        <w:pStyle w:val="Heading2"/>
      </w:pPr>
      <w:r>
        <w:t xml:space="preserve">Appendix A: Suggested working agenda for the drafting session</w:t>
      </w:r>
    </w:p>
    <w:p>
      <w:pPr>
        <w:pStyle w:val="FirstParagraph"/>
      </w:pPr>
      <w:r>
        <w:t xml:space="preserve">If you are using this outline to drive an internal working session, the following agenda has worked for others:</w:t>
      </w:r>
    </w:p>
    <w:p>
      <w:pPr>
        <w:pStyle w:val="Compact"/>
        <w:numPr>
          <w:ilvl w:val="0"/>
          <w:numId w:val="1010"/>
        </w:numPr>
      </w:pPr>
      <w:r>
        <w:t xml:space="preserve">Confirm scope (section 2). 15 minutes.</w:t>
      </w:r>
    </w:p>
    <w:p>
      <w:pPr>
        <w:pStyle w:val="Compact"/>
        <w:numPr>
          <w:ilvl w:val="0"/>
          <w:numId w:val="1010"/>
        </w:numPr>
      </w:pPr>
      <w:r>
        <w:t xml:space="preserve">Walk through sections 6 and 7 (allowed and prohibited uses) with a representative from each major function. 45 minutes.</w:t>
      </w:r>
    </w:p>
    <w:p>
      <w:pPr>
        <w:pStyle w:val="Compact"/>
        <w:numPr>
          <w:ilvl w:val="0"/>
          <w:numId w:val="1010"/>
        </w:numPr>
      </w:pPr>
      <w:r>
        <w:t xml:space="preserve">Identify the default tool and any approved alternatives (sections 4 and 5). 30 minutes.</w:t>
      </w:r>
    </w:p>
    <w:p>
      <w:pPr>
        <w:pStyle w:val="Compact"/>
        <w:numPr>
          <w:ilvl w:val="0"/>
          <w:numId w:val="1010"/>
        </w:numPr>
      </w:pPr>
      <w:r>
        <w:t xml:space="preserve">Assign owners for [HR/LEGAL REVIEW] items. 15 minutes.</w:t>
      </w:r>
    </w:p>
    <w:p>
      <w:pPr>
        <w:pStyle w:val="Compact"/>
        <w:numPr>
          <w:ilvl w:val="0"/>
          <w:numId w:val="1010"/>
        </w:numPr>
      </w:pPr>
      <w:r>
        <w:t xml:space="preserve">Schedule the next session and a deadline for legal review. 15 minutes.</w:t>
      </w:r>
    </w:p>
    <w:p>
      <w:r>
        <w:pict>
          <v:rect style="width:0;height:1.5pt" o:hralign="center" o:hrstd="t" o:hr="t"/>
        </w:pict>
      </w:r>
    </w:p>
    <w:p>
      <w:pPr>
        <w:pStyle w:val="FirstParagraph"/>
      </w:pPr>
      <w:r>
        <w:rPr>
          <w:i/>
          <w:iCs/>
        </w:rPr>
        <w:t xml:space="preserve">This is a starting outline, not legal advice. Adapt to your organization’s needs and have it reviewed by qualified counsel before adoption.</w:t>
      </w:r>
    </w:p>
    <w:p>
      <w:pPr>
        <w:pStyle w:val="BodyText"/>
      </w:pPr>
      <w:r>
        <w:rPr>
          <w:i/>
          <w:iCs/>
        </w:rPr>
        <w:t xml:space="preserve">Practical AI Starter Kit — RyexDev — May 2026 — ryexdev.com</w:t>
      </w:r>
    </w:p>
    <w:bookmarkEnd w:id="24"/>
    <w:bookmarkEnd w:id="25"/>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Use Policy Outline</dc:title>
  <dc:creator/>
  <cp:keywords/>
  <dcterms:created xsi:type="dcterms:W3CDTF">2026-05-17T01:13:07Z</dcterms:created>
  <dcterms:modified xsi:type="dcterms:W3CDTF">2026-05-17T01:13:07Z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btitle">
    <vt:lpwstr>A starting outline for your organization. Not legal advice.</vt:lpwstr>
  </property>
</Properties>
</file>